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0B498B">
        <w:rPr>
          <w:rFonts w:ascii="Arial" w:hAnsi="Arial" w:cs="Arial" w:hint="eastAsia"/>
          <w:b/>
          <w:bCs/>
          <w:sz w:val="28"/>
        </w:rPr>
        <w:t xml:space="preserve">5    </w:t>
      </w:r>
      <w:r w:rsidR="00904EBD">
        <w:rPr>
          <w:rFonts w:ascii="Arial" w:hAnsi="Arial" w:cs="Arial" w:hint="eastAsia"/>
          <w:b/>
          <w:bCs/>
          <w:sz w:val="28"/>
        </w:rPr>
        <w:t xml:space="preserve">                                             </w:t>
      </w:r>
      <w:r w:rsidR="00C81455" w:rsidRPr="00C81455">
        <w:rPr>
          <w:rFonts w:ascii="Arial" w:hAnsi="Arial" w:cs="Arial"/>
          <w:b/>
          <w:bCs/>
          <w:sz w:val="28"/>
        </w:rPr>
        <w:t>R1-18</w:t>
      </w:r>
      <w:r w:rsidR="006B0443">
        <w:rPr>
          <w:rFonts w:ascii="Arial" w:hAnsi="Arial" w:cs="Arial"/>
          <w:b/>
          <w:bCs/>
          <w:sz w:val="28"/>
        </w:rPr>
        <w:t>13290</w:t>
      </w:r>
    </w:p>
    <w:p w:rsidR="00513DD3" w:rsidRPr="009513AC" w:rsidRDefault="000B498B"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Spokane</w:t>
      </w:r>
      <w:r w:rsidR="00513DD3">
        <w:rPr>
          <w:rFonts w:ascii="Arial" w:eastAsia="ＭＳ 明朝" w:hAnsi="Arial" w:cs="Arial"/>
          <w:b/>
          <w:bCs/>
          <w:sz w:val="28"/>
        </w:rPr>
        <w:t xml:space="preserve">, </w:t>
      </w:r>
      <w:r>
        <w:rPr>
          <w:rFonts w:ascii="Arial" w:eastAsia="ＭＳ 明朝" w:hAnsi="Arial" w:cs="Arial"/>
          <w:b/>
          <w:bCs/>
          <w:sz w:val="28"/>
        </w:rPr>
        <w:t>USA</w:t>
      </w:r>
      <w:r w:rsidR="00513DD3">
        <w:rPr>
          <w:rFonts w:ascii="Arial" w:eastAsia="ＭＳ 明朝" w:hAnsi="Arial" w:cs="Arial"/>
          <w:b/>
          <w:bCs/>
          <w:sz w:val="28"/>
        </w:rPr>
        <w:t xml:space="preserve">, </w:t>
      </w:r>
      <w:r>
        <w:rPr>
          <w:rFonts w:ascii="Arial" w:eastAsia="ＭＳ 明朝" w:hAnsi="Arial" w:cs="Arial"/>
          <w:b/>
          <w:bCs/>
          <w:sz w:val="28"/>
        </w:rPr>
        <w:t>Novem</w:t>
      </w:r>
      <w:r w:rsidR="00437796">
        <w:rPr>
          <w:rFonts w:ascii="Arial" w:eastAsia="ＭＳ 明朝" w:hAnsi="Arial" w:cs="Arial" w:hint="eastAsia"/>
          <w:b/>
          <w:bCs/>
          <w:sz w:val="28"/>
        </w:rPr>
        <w:t>ber</w:t>
      </w:r>
      <w:r w:rsidR="00513DD3">
        <w:rPr>
          <w:rFonts w:ascii="Arial" w:eastAsia="ＭＳ 明朝" w:hAnsi="Arial" w:cs="Arial"/>
          <w:b/>
          <w:bCs/>
          <w:sz w:val="28"/>
        </w:rPr>
        <w:t xml:space="preserve"> </w:t>
      </w:r>
      <w:r>
        <w:rPr>
          <w:rFonts w:ascii="Arial" w:eastAsia="ＭＳ 明朝" w:hAnsi="Arial" w:cs="Arial"/>
          <w:b/>
          <w:bCs/>
          <w:sz w:val="28"/>
        </w:rPr>
        <w:t>12</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 </w:t>
      </w:r>
      <w:r w:rsidR="00437796">
        <w:rPr>
          <w:rFonts w:ascii="Arial" w:eastAsia="ＭＳ 明朝" w:hAnsi="Arial" w:cs="Arial" w:hint="eastAsia"/>
          <w:b/>
          <w:bCs/>
          <w:sz w:val="28"/>
        </w:rPr>
        <w:t>1</w:t>
      </w:r>
      <w:r>
        <w:rPr>
          <w:rFonts w:ascii="Arial" w:eastAsia="ＭＳ 明朝" w:hAnsi="Arial" w:cs="Arial"/>
          <w:b/>
          <w:bCs/>
          <w:sz w:val="28"/>
        </w:rPr>
        <w:t>6</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rsidR="008A34D9" w:rsidRPr="000B498B"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6344B">
        <w:rPr>
          <w:sz w:val="24"/>
          <w:lang w:val="en-US" w:eastAsia="ja-JP"/>
        </w:rPr>
        <w:t>Discussion on handling of TA in Synchrnous MR-DC</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6344B">
        <w:rPr>
          <w:rFonts w:hint="eastAsia"/>
          <w:sz w:val="24"/>
          <w:lang w:val="en-US" w:eastAsia="ja-JP"/>
        </w:rPr>
        <w:t>5</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A6344B" w:rsidRDefault="00A6344B" w:rsidP="00956F10">
      <w:pPr>
        <w:spacing w:afterLines="50" w:after="120"/>
        <w:jc w:val="both"/>
        <w:rPr>
          <w:rFonts w:eastAsia="ＭＳ 明朝"/>
          <w:sz w:val="22"/>
          <w:szCs w:val="22"/>
          <w:lang w:val="en-US"/>
        </w:rPr>
      </w:pPr>
      <w:r>
        <w:rPr>
          <w:rFonts w:eastAsia="ＭＳ 明朝" w:hint="eastAsia"/>
          <w:sz w:val="22"/>
          <w:szCs w:val="22"/>
          <w:lang w:val="en-US"/>
        </w:rPr>
        <w:t xml:space="preserve">At the RAN1#94bis meeting, RAN1 agreed to send reply LS to RAN2 regarding </w:t>
      </w:r>
      <w:r w:rsidRPr="00A6344B">
        <w:rPr>
          <w:rFonts w:eastAsia="ＭＳ 明朝"/>
          <w:sz w:val="22"/>
          <w:szCs w:val="22"/>
          <w:lang w:val="en-US"/>
        </w:rPr>
        <w:t>intra-band combination for NR CA and MR-DC</w:t>
      </w:r>
      <w:r>
        <w:rPr>
          <w:rFonts w:eastAsia="ＭＳ 明朝"/>
          <w:sz w:val="22"/>
          <w:szCs w:val="22"/>
          <w:lang w:val="en-US"/>
        </w:rPr>
        <w:t xml:space="preserve"> [1-2]. In the reply LS, following texts were described regarding the handling of TA in synchronous MR-DC.</w:t>
      </w:r>
    </w:p>
    <w:tbl>
      <w:tblPr>
        <w:tblStyle w:val="afa"/>
        <w:tblW w:w="0" w:type="auto"/>
        <w:tblLook w:val="04A0" w:firstRow="1" w:lastRow="0" w:firstColumn="1" w:lastColumn="0" w:noHBand="0" w:noVBand="1"/>
      </w:tblPr>
      <w:tblGrid>
        <w:gridCol w:w="9962"/>
      </w:tblGrid>
      <w:tr w:rsidR="00A6344B" w:rsidRPr="00A6344B" w:rsidTr="00A6344B">
        <w:tc>
          <w:tcPr>
            <w:tcW w:w="9962" w:type="dxa"/>
          </w:tcPr>
          <w:p w:rsidR="00A6344B" w:rsidRPr="00A6344B" w:rsidRDefault="00A6344B" w:rsidP="00A6344B">
            <w:pPr>
              <w:rPr>
                <w:rFonts w:ascii="Arial" w:eastAsia="ＭＳ 明朝" w:hAnsi="Arial" w:cs="Arial"/>
                <w:sz w:val="20"/>
                <w:lang w:eastAsia="en-US"/>
              </w:rPr>
            </w:pPr>
            <w:r w:rsidRPr="00A6344B">
              <w:rPr>
                <w:rFonts w:ascii="Arial" w:eastAsia="ＭＳ 明朝" w:hAnsi="Arial" w:cs="Arial"/>
                <w:sz w:val="20"/>
                <w:lang w:eastAsia="en-US"/>
              </w:rPr>
              <w:t>For the second question, from a UE transmission perspective, the same timing (considering allowed tolerances) is necessary for both LTE and NR (except for RACH) for some RF architectures in synchronous intra-band MR-DC scenarios. RAN1 is currently discussing solutions that will achieve this functionality, including the aspect of “</w:t>
            </w:r>
            <w:r w:rsidRPr="00A6344B">
              <w:rPr>
                <w:rFonts w:ascii="Arial" w:eastAsia="ＭＳ 明朝" w:hAnsi="Arial" w:cs="Arial" w:hint="eastAsia"/>
                <w:sz w:val="20"/>
                <w:lang w:eastAsia="en-US"/>
              </w:rPr>
              <w:t>single UL timing adjustment across the two RATs or parallel UL timing adjustments in the two RATs</w:t>
            </w:r>
            <w:r w:rsidRPr="00A6344B">
              <w:rPr>
                <w:rFonts w:ascii="Arial" w:eastAsia="ＭＳ 明朝" w:hAnsi="Arial" w:cs="Arial"/>
                <w:sz w:val="20"/>
                <w:lang w:eastAsia="en-US"/>
              </w:rPr>
              <w:t>”. RAN1 plans to provide further information once it is concluded.</w:t>
            </w:r>
          </w:p>
        </w:tc>
      </w:tr>
    </w:tbl>
    <w:p w:rsidR="00A6344B" w:rsidRDefault="00A6344B" w:rsidP="00956F10">
      <w:pPr>
        <w:spacing w:afterLines="50" w:after="120"/>
        <w:jc w:val="both"/>
        <w:rPr>
          <w:rFonts w:eastAsia="ＭＳ 明朝"/>
          <w:sz w:val="22"/>
          <w:szCs w:val="22"/>
        </w:rPr>
      </w:pPr>
    </w:p>
    <w:p w:rsidR="00A6344B" w:rsidRDefault="00A6344B" w:rsidP="00956F10">
      <w:pPr>
        <w:spacing w:afterLines="50" w:after="120"/>
        <w:jc w:val="both"/>
        <w:rPr>
          <w:rFonts w:eastAsia="ＭＳ 明朝"/>
          <w:sz w:val="22"/>
          <w:szCs w:val="22"/>
          <w:lang w:val="en-US"/>
        </w:rPr>
      </w:pPr>
      <w:r>
        <w:rPr>
          <w:rFonts w:eastAsia="ＭＳ 明朝" w:hint="eastAsia"/>
          <w:sz w:val="22"/>
          <w:szCs w:val="22"/>
        </w:rPr>
        <w:t>At the RAN4</w:t>
      </w:r>
      <w:r>
        <w:rPr>
          <w:rFonts w:eastAsia="ＭＳ 明朝"/>
          <w:sz w:val="22"/>
          <w:szCs w:val="22"/>
        </w:rPr>
        <w:t xml:space="preserve">#88bis meeting, RAN4 also agreed to send reply LS to the RAN2 LS [3]. </w:t>
      </w:r>
      <w:r>
        <w:rPr>
          <w:rFonts w:eastAsia="ＭＳ 明朝"/>
          <w:sz w:val="22"/>
          <w:szCs w:val="22"/>
          <w:lang w:val="en-US"/>
        </w:rPr>
        <w:t>In the reply LS, following texts were described regarding the handling of TA in synchronous MR-DC.</w:t>
      </w:r>
    </w:p>
    <w:tbl>
      <w:tblPr>
        <w:tblStyle w:val="afa"/>
        <w:tblW w:w="0" w:type="auto"/>
        <w:tblLook w:val="04A0" w:firstRow="1" w:lastRow="0" w:firstColumn="1" w:lastColumn="0" w:noHBand="0" w:noVBand="1"/>
      </w:tblPr>
      <w:tblGrid>
        <w:gridCol w:w="9962"/>
      </w:tblGrid>
      <w:tr w:rsidR="00A6344B" w:rsidTr="00A6344B">
        <w:tc>
          <w:tcPr>
            <w:tcW w:w="9962" w:type="dxa"/>
          </w:tcPr>
          <w:p w:rsidR="00A6344B" w:rsidRPr="00A6344B" w:rsidRDefault="00A6344B" w:rsidP="00A6344B">
            <w:pPr>
              <w:spacing w:after="120"/>
              <w:rPr>
                <w:rFonts w:ascii="Arial" w:eastAsia="游明朝" w:hAnsi="Arial" w:cs="Arial"/>
                <w:b/>
                <w:sz w:val="20"/>
                <w:lang w:eastAsia="en-US"/>
              </w:rPr>
            </w:pPr>
            <w:r w:rsidRPr="00A6344B">
              <w:rPr>
                <w:rFonts w:ascii="Arial" w:eastAsia="游明朝" w:hAnsi="Arial" w:cs="Arial" w:hint="eastAsia"/>
                <w:b/>
                <w:sz w:val="20"/>
              </w:rPr>
              <w:t>3</w:t>
            </w:r>
            <w:r w:rsidRPr="00A6344B">
              <w:rPr>
                <w:rFonts w:ascii="Arial" w:eastAsia="游明朝" w:hAnsi="Arial" w:cs="Arial"/>
                <w:b/>
                <w:sz w:val="20"/>
                <w:lang w:eastAsia="en-US"/>
              </w:rPr>
              <w:t xml:space="preserve">. Handling of TA in Synchronous </w:t>
            </w:r>
            <w:r w:rsidRPr="00A6344B">
              <w:rPr>
                <w:rFonts w:ascii="Arial" w:eastAsia="游明朝" w:hAnsi="Arial" w:cs="Arial" w:hint="eastAsia"/>
                <w:b/>
                <w:sz w:val="20"/>
              </w:rPr>
              <w:t>MR</w:t>
            </w:r>
            <w:r w:rsidRPr="00A6344B">
              <w:rPr>
                <w:rFonts w:ascii="Arial" w:eastAsia="游明朝" w:hAnsi="Arial" w:cs="Arial"/>
                <w:b/>
                <w:sz w:val="20"/>
                <w:lang w:eastAsia="en-US"/>
              </w:rPr>
              <w:t>-DC</w:t>
            </w:r>
          </w:p>
          <w:p w:rsidR="00A6344B" w:rsidRPr="00A6344B" w:rsidRDefault="00A6344B" w:rsidP="00A6344B">
            <w:pPr>
              <w:spacing w:after="120"/>
              <w:rPr>
                <w:rFonts w:ascii="Arial" w:eastAsia="游明朝" w:hAnsi="Arial" w:cs="Arial"/>
                <w:sz w:val="20"/>
              </w:rPr>
            </w:pPr>
            <w:r w:rsidRPr="00A6344B">
              <w:rPr>
                <w:rFonts w:ascii="Arial" w:eastAsia="游明朝" w:hAnsi="Arial" w:cs="Arial"/>
                <w:sz w:val="20"/>
                <w:lang w:eastAsia="en-US"/>
              </w:rPr>
              <w:t>RAN4 has defined both synchronous and asynchronous operations for intra-band EN_DC combinations. For which are synchronous operation, this is where LTE and NR are time-aligned. The synchronous case corresponds to MRTD of 3 µs (maximum UE receive timing difference). Even in the co-located case with “identical” propagation paths, the CGs can have different radio paths/chains, which can motivate separate timing management on the two CGs. How synchronous MR-DC combinations should be supported from timing adjustment perspective is a RAN1 issue and it is unlikely that RAN4 will have a response.</w:t>
            </w:r>
          </w:p>
        </w:tc>
      </w:tr>
    </w:tbl>
    <w:p w:rsidR="00A6344B" w:rsidRDefault="00A6344B" w:rsidP="00956F10">
      <w:pPr>
        <w:spacing w:afterLines="50" w:after="120"/>
        <w:jc w:val="both"/>
        <w:rPr>
          <w:rFonts w:eastAsia="ＭＳ 明朝"/>
          <w:sz w:val="22"/>
          <w:szCs w:val="22"/>
        </w:rPr>
      </w:pPr>
    </w:p>
    <w:p w:rsidR="00A6344B" w:rsidRPr="00A6344B" w:rsidRDefault="00A6344B" w:rsidP="00956F10">
      <w:pPr>
        <w:spacing w:afterLines="50" w:after="120"/>
        <w:jc w:val="both"/>
        <w:rPr>
          <w:rFonts w:eastAsia="ＭＳ 明朝"/>
          <w:sz w:val="22"/>
          <w:szCs w:val="22"/>
        </w:rPr>
      </w:pPr>
      <w:r>
        <w:rPr>
          <w:rFonts w:eastAsia="ＭＳ 明朝" w:hint="eastAsia"/>
          <w:sz w:val="22"/>
          <w:szCs w:val="22"/>
        </w:rPr>
        <w:t>According to above two reply LSs, the issue on handling of TA in synchronous MR-DC should be further discussed.</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w:t>
      </w:r>
      <w:r w:rsidR="00A6344B">
        <w:rPr>
          <w:rFonts w:eastAsia="ＭＳ 明朝" w:hint="eastAsia"/>
          <w:sz w:val="22"/>
          <w:szCs w:val="22"/>
          <w:lang w:val="en-US"/>
        </w:rPr>
        <w:t>iscuss further on the issue</w:t>
      </w:r>
      <w:r w:rsidR="001012F3" w:rsidRPr="001012F3">
        <w:rPr>
          <w:rFonts w:eastAsia="ＭＳ 明朝" w:hint="eastAsia"/>
          <w:sz w:val="22"/>
          <w:szCs w:val="22"/>
          <w:lang w:val="en-US"/>
        </w:rPr>
        <w:t xml:space="preserve"> </w:t>
      </w:r>
      <w:r w:rsidR="00A6344B">
        <w:rPr>
          <w:rFonts w:eastAsia="ＭＳ 明朝" w:hint="eastAsia"/>
          <w:sz w:val="22"/>
          <w:szCs w:val="22"/>
          <w:lang w:val="en-US"/>
        </w:rPr>
        <w:t>and provide views</w:t>
      </w:r>
      <w:r w:rsidR="001012F3" w:rsidRPr="001012F3">
        <w:rPr>
          <w:rFonts w:eastAsia="ＭＳ 明朝" w:hint="eastAsia"/>
          <w:sz w:val="22"/>
          <w:szCs w:val="22"/>
          <w:lang w:val="en-US"/>
        </w:rPr>
        <w:t xml:space="preserve">. </w:t>
      </w:r>
    </w:p>
    <w:p w:rsidR="00F2589E" w:rsidRPr="00A6344B" w:rsidRDefault="00F2589E" w:rsidP="004F3EF9">
      <w:pPr>
        <w:rPr>
          <w:lang w:val="en-US"/>
        </w:rPr>
      </w:pPr>
    </w:p>
    <w:p w:rsidR="008902BC" w:rsidRPr="00F624AE" w:rsidRDefault="00A6344B" w:rsidP="00F624AE">
      <w:pPr>
        <w:pStyle w:val="1"/>
        <w:numPr>
          <w:ilvl w:val="0"/>
          <w:numId w:val="6"/>
        </w:numPr>
        <w:spacing w:before="180" w:after="120"/>
        <w:rPr>
          <w:rFonts w:eastAsia="ＭＳ 明朝"/>
          <w:b/>
          <w:bCs/>
          <w:lang w:val="en-US"/>
        </w:rPr>
      </w:pPr>
      <w:r>
        <w:rPr>
          <w:rFonts w:eastAsia="ＭＳ 明朝"/>
          <w:b/>
          <w:bCs/>
          <w:szCs w:val="24"/>
          <w:lang w:val="en-US"/>
        </w:rPr>
        <w:t>Handling of TA in synchronous MR-DC</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A6344B" w:rsidRDefault="00A6344B" w:rsidP="00F624AE">
      <w:pPr>
        <w:spacing w:afterLines="50" w:after="120"/>
        <w:jc w:val="both"/>
        <w:rPr>
          <w:rFonts w:eastAsia="游明朝"/>
          <w:sz w:val="22"/>
          <w:szCs w:val="22"/>
          <w:lang w:val="en-US"/>
        </w:rPr>
      </w:pPr>
      <w:r>
        <w:rPr>
          <w:rFonts w:eastAsia="游明朝" w:hint="eastAsia"/>
          <w:sz w:val="22"/>
          <w:szCs w:val="22"/>
          <w:lang w:val="en-US"/>
        </w:rPr>
        <w:t>As described in [2], RAN1 discuss</w:t>
      </w:r>
      <w:r>
        <w:rPr>
          <w:rFonts w:eastAsia="游明朝"/>
          <w:sz w:val="22"/>
          <w:szCs w:val="22"/>
          <w:lang w:val="en-US"/>
        </w:rPr>
        <w:t>ed on at least following solutions.</w:t>
      </w:r>
    </w:p>
    <w:p w:rsidR="00A6344B" w:rsidRDefault="004B498F" w:rsidP="00A6344B">
      <w:pPr>
        <w:pStyle w:val="afc"/>
        <w:numPr>
          <w:ilvl w:val="0"/>
          <w:numId w:val="47"/>
        </w:numPr>
        <w:spacing w:afterLines="50" w:after="120"/>
        <w:ind w:leftChars="0"/>
        <w:jc w:val="both"/>
        <w:rPr>
          <w:rFonts w:eastAsia="游明朝"/>
          <w:sz w:val="22"/>
          <w:szCs w:val="22"/>
          <w:lang w:val="en-US"/>
        </w:rPr>
      </w:pPr>
      <w:r>
        <w:rPr>
          <w:rFonts w:eastAsia="游明朝" w:hint="eastAsia"/>
          <w:sz w:val="22"/>
          <w:szCs w:val="22"/>
          <w:lang w:val="en-US"/>
        </w:rPr>
        <w:t>Alt.1: Single UL timing adjustment across the two RATs</w:t>
      </w:r>
    </w:p>
    <w:p w:rsidR="004B498F" w:rsidRPr="004B498F" w:rsidRDefault="004B498F" w:rsidP="004B498F">
      <w:pPr>
        <w:pStyle w:val="afc"/>
        <w:numPr>
          <w:ilvl w:val="1"/>
          <w:numId w:val="47"/>
        </w:numPr>
        <w:spacing w:afterLines="50" w:after="120"/>
        <w:ind w:leftChars="0"/>
        <w:jc w:val="both"/>
        <w:rPr>
          <w:rFonts w:eastAsia="游明朝"/>
          <w:sz w:val="28"/>
          <w:szCs w:val="22"/>
          <w:lang w:val="en-US"/>
        </w:rPr>
      </w:pPr>
      <w:r>
        <w:rPr>
          <w:rFonts w:eastAsia="ＭＳ 明朝"/>
          <w:sz w:val="22"/>
          <w:lang w:val="en-US" w:eastAsia="en-US"/>
        </w:rPr>
        <w:t>As described in [4]</w:t>
      </w:r>
      <w:r w:rsidRPr="004B498F">
        <w:rPr>
          <w:rFonts w:eastAsia="ＭＳ 明朝"/>
          <w:sz w:val="22"/>
          <w:lang w:eastAsia="en-US"/>
        </w:rPr>
        <w:t>, the value of TA (i.e. (N</w:t>
      </w:r>
      <w:r w:rsidRPr="004B498F">
        <w:rPr>
          <w:rFonts w:eastAsia="ＭＳ 明朝"/>
          <w:sz w:val="22"/>
          <w:vertAlign w:val="subscript"/>
          <w:lang w:eastAsia="en-US"/>
        </w:rPr>
        <w:t>TA</w:t>
      </w:r>
      <w:r w:rsidRPr="004B498F">
        <w:rPr>
          <w:rFonts w:eastAsia="ＭＳ 明朝"/>
          <w:sz w:val="22"/>
          <w:lang w:eastAsia="en-US"/>
        </w:rPr>
        <w:t xml:space="preserve"> + N</w:t>
      </w:r>
      <w:r w:rsidRPr="004B498F">
        <w:rPr>
          <w:rFonts w:eastAsia="ＭＳ 明朝"/>
          <w:sz w:val="22"/>
          <w:vertAlign w:val="subscript"/>
          <w:lang w:eastAsia="en-US"/>
        </w:rPr>
        <w:t>TA offset</w:t>
      </w:r>
      <w:r w:rsidRPr="004B498F">
        <w:rPr>
          <w:rFonts w:eastAsia="ＭＳ 明朝"/>
          <w:sz w:val="22"/>
          <w:vertAlign w:val="subscript"/>
          <w:lang w:eastAsia="en-US"/>
        </w:rPr>
        <w:softHyphen/>
      </w:r>
      <w:r w:rsidRPr="004B498F">
        <w:rPr>
          <w:rFonts w:eastAsia="ＭＳ 明朝"/>
          <w:sz w:val="22"/>
          <w:vertAlign w:val="subscript"/>
          <w:lang w:eastAsia="en-US"/>
        </w:rPr>
        <w:softHyphen/>
      </w:r>
      <w:r w:rsidRPr="004B498F">
        <w:rPr>
          <w:rFonts w:eastAsia="ＭＳ 明朝"/>
          <w:sz w:val="22"/>
          <w:lang w:eastAsia="en-US"/>
        </w:rPr>
        <w:t>)T</w:t>
      </w:r>
      <w:r w:rsidRPr="004B498F">
        <w:rPr>
          <w:rFonts w:eastAsia="ＭＳ 明朝"/>
          <w:sz w:val="22"/>
          <w:vertAlign w:val="subscript"/>
          <w:lang w:eastAsia="en-US"/>
        </w:rPr>
        <w:t>s</w:t>
      </w:r>
      <w:r w:rsidRPr="004B498F">
        <w:rPr>
          <w:rFonts w:eastAsia="ＭＳ 明朝"/>
          <w:sz w:val="22"/>
          <w:lang w:eastAsia="en-US"/>
        </w:rPr>
        <w:t>) is determined by the received TA from LTE for all uplink signals/channels other than PRACH and value of TA should be identical for both LTE and NR transmissions.</w:t>
      </w:r>
    </w:p>
    <w:p w:rsidR="004B498F" w:rsidRDefault="004B498F" w:rsidP="00A6344B">
      <w:pPr>
        <w:pStyle w:val="afc"/>
        <w:numPr>
          <w:ilvl w:val="0"/>
          <w:numId w:val="47"/>
        </w:numPr>
        <w:spacing w:afterLines="50" w:after="120"/>
        <w:ind w:leftChars="0"/>
        <w:jc w:val="both"/>
        <w:rPr>
          <w:rFonts w:eastAsia="游明朝"/>
          <w:sz w:val="22"/>
          <w:szCs w:val="22"/>
          <w:lang w:val="en-US"/>
        </w:rPr>
      </w:pPr>
      <w:r>
        <w:rPr>
          <w:rFonts w:eastAsia="游明朝"/>
          <w:sz w:val="22"/>
          <w:szCs w:val="22"/>
          <w:lang w:val="en-US"/>
        </w:rPr>
        <w:t>Alt.2: Parallel UL timing adjustments in the two RATs</w:t>
      </w:r>
    </w:p>
    <w:p w:rsidR="004B498F" w:rsidRPr="00A6344B" w:rsidRDefault="004B498F" w:rsidP="004B498F">
      <w:pPr>
        <w:pStyle w:val="afc"/>
        <w:numPr>
          <w:ilvl w:val="1"/>
          <w:numId w:val="47"/>
        </w:numPr>
        <w:spacing w:afterLines="50" w:after="120"/>
        <w:ind w:leftChars="0"/>
        <w:jc w:val="both"/>
        <w:rPr>
          <w:rFonts w:eastAsia="游明朝"/>
          <w:sz w:val="22"/>
          <w:szCs w:val="22"/>
          <w:lang w:val="en-US"/>
        </w:rPr>
      </w:pPr>
      <w:r>
        <w:rPr>
          <w:rFonts w:eastAsia="游明朝"/>
          <w:sz w:val="22"/>
          <w:szCs w:val="22"/>
          <w:lang w:val="en-US"/>
        </w:rPr>
        <w:t>This alternative seems aligned with following text in the RAN4 LS; “</w:t>
      </w:r>
      <w:r w:rsidRPr="004B498F">
        <w:rPr>
          <w:rFonts w:eastAsia="游明朝"/>
          <w:sz w:val="22"/>
          <w:szCs w:val="22"/>
          <w:lang w:val="en-US"/>
        </w:rPr>
        <w:t>Even in the co-located case with “identical” propagation paths, the CGs can have different radio paths/chains, which can motivate separate timing management on the two CGs</w:t>
      </w:r>
      <w:r>
        <w:rPr>
          <w:rFonts w:eastAsia="游明朝"/>
          <w:sz w:val="22"/>
          <w:szCs w:val="22"/>
          <w:lang w:val="en-US"/>
        </w:rPr>
        <w:t>”.</w:t>
      </w:r>
    </w:p>
    <w:p w:rsidR="006E0E19" w:rsidRDefault="004B498F" w:rsidP="00F624AE">
      <w:pPr>
        <w:spacing w:afterLines="50" w:after="120"/>
        <w:jc w:val="both"/>
        <w:rPr>
          <w:rFonts w:eastAsia="游明朝"/>
          <w:sz w:val="22"/>
          <w:szCs w:val="22"/>
          <w:lang w:val="en-US"/>
        </w:rPr>
      </w:pPr>
      <w:r>
        <w:rPr>
          <w:rFonts w:eastAsia="游明朝" w:hint="eastAsia"/>
          <w:sz w:val="22"/>
          <w:szCs w:val="22"/>
          <w:lang w:val="en-US"/>
        </w:rPr>
        <w:t xml:space="preserve">In our view, </w:t>
      </w:r>
      <w:r>
        <w:rPr>
          <w:rFonts w:eastAsia="游明朝"/>
          <w:sz w:val="22"/>
          <w:szCs w:val="22"/>
          <w:lang w:val="en-US"/>
        </w:rPr>
        <w:t xml:space="preserve">Alt.2 is preferable, i.e., </w:t>
      </w:r>
      <w:r w:rsidR="00C47B30">
        <w:rPr>
          <w:rFonts w:eastAsia="游明朝"/>
          <w:sz w:val="22"/>
          <w:szCs w:val="22"/>
          <w:lang w:val="en-US"/>
        </w:rPr>
        <w:t>according</w:t>
      </w:r>
      <w:r w:rsidR="007B1DCF">
        <w:rPr>
          <w:rFonts w:eastAsia="游明朝"/>
          <w:sz w:val="22"/>
          <w:szCs w:val="22"/>
          <w:lang w:val="en-US"/>
        </w:rPr>
        <w:t xml:space="preserve"> to the principle of TA group, M</w:t>
      </w:r>
      <w:r w:rsidR="00C47B30">
        <w:rPr>
          <w:rFonts w:eastAsia="游明朝"/>
          <w:sz w:val="22"/>
          <w:szCs w:val="22"/>
          <w:lang w:val="en-US"/>
        </w:rPr>
        <w:t xml:space="preserve">CG (i.e., LTE RAT) and SCG (i.e., NR RAT) should be in separate TAGs, respectively. </w:t>
      </w:r>
      <w:r>
        <w:rPr>
          <w:rFonts w:eastAsia="游明朝"/>
          <w:sz w:val="22"/>
          <w:szCs w:val="22"/>
          <w:lang w:val="en-US"/>
        </w:rPr>
        <w:t xml:space="preserve">Even in case of intra-band EN-DC, </w:t>
      </w:r>
      <w:r w:rsidR="00704894">
        <w:rPr>
          <w:rFonts w:eastAsia="游明朝"/>
          <w:sz w:val="22"/>
          <w:szCs w:val="22"/>
          <w:lang w:val="en-US"/>
        </w:rPr>
        <w:t xml:space="preserve">LTE eNB and NR gNB would have a less than 3us cell phase synchronization error, and they would have individual TA handling procedure without dynamic coordination. </w:t>
      </w:r>
      <w:r w:rsidR="00C47B30">
        <w:rPr>
          <w:rFonts w:eastAsia="游明朝"/>
          <w:sz w:val="22"/>
          <w:szCs w:val="22"/>
          <w:lang w:val="en-US"/>
        </w:rPr>
        <w:t xml:space="preserve">In such case, parallel UL timing adjustments in two RATs are basically </w:t>
      </w:r>
      <w:r w:rsidR="00C47B30">
        <w:rPr>
          <w:rFonts w:eastAsia="游明朝"/>
          <w:sz w:val="22"/>
          <w:szCs w:val="22"/>
          <w:lang w:val="en-US"/>
        </w:rPr>
        <w:lastRenderedPageBreak/>
        <w:t>necessary</w:t>
      </w:r>
      <w:r w:rsidR="00351501">
        <w:rPr>
          <w:rFonts w:eastAsia="游明朝"/>
          <w:sz w:val="22"/>
          <w:szCs w:val="22"/>
          <w:lang w:val="en-US"/>
        </w:rPr>
        <w:t xml:space="preserve"> while UL timing in two RATs in the scenario needs to be alig</w:t>
      </w:r>
      <w:r w:rsidR="00704894">
        <w:rPr>
          <w:rFonts w:eastAsia="游明朝"/>
          <w:sz w:val="22"/>
          <w:szCs w:val="22"/>
          <w:lang w:val="en-US"/>
        </w:rPr>
        <w:t>ned with a certain tolerance</w:t>
      </w:r>
      <w:r w:rsidR="00C47B30">
        <w:rPr>
          <w:rFonts w:eastAsia="游明朝"/>
          <w:sz w:val="22"/>
          <w:szCs w:val="22"/>
          <w:lang w:val="en-US"/>
        </w:rPr>
        <w:t>.</w:t>
      </w:r>
      <w:r w:rsidR="00704894">
        <w:rPr>
          <w:rFonts w:eastAsia="游明朝"/>
          <w:sz w:val="22"/>
          <w:szCs w:val="22"/>
          <w:lang w:val="en-US"/>
        </w:rPr>
        <w:t xml:space="preserve"> In case of inter-band synchronous DC (including both LTE-LTE DC and EN-DC), such tolerance is defined as MTTD (Maximum Transmission Timing Difference) requirement in RAN4 specifications. Therefore, although MTTD requirement for intra-band synchronous EN-DC is not defined in the current RAN4 specification, we think that RAN4 should define it </w:t>
      </w:r>
      <w:r w:rsidR="0086514E">
        <w:rPr>
          <w:rFonts w:eastAsia="游明朝"/>
          <w:sz w:val="22"/>
          <w:szCs w:val="22"/>
          <w:lang w:val="en-US"/>
        </w:rPr>
        <w:t>by following the similar manner with MTTD requirements for other synchronous cases, i.e., MTTD could be MRTD + 2.21us.</w:t>
      </w:r>
      <w:r w:rsidR="006B0443">
        <w:rPr>
          <w:rFonts w:eastAsia="游明朝"/>
          <w:sz w:val="22"/>
          <w:szCs w:val="22"/>
          <w:lang w:val="en-US"/>
        </w:rPr>
        <w:t xml:space="preserve"> </w:t>
      </w:r>
    </w:p>
    <w:p w:rsidR="00704894" w:rsidRPr="006B0443" w:rsidRDefault="0086514E" w:rsidP="00F624AE">
      <w:pPr>
        <w:spacing w:afterLines="50" w:after="120"/>
        <w:jc w:val="both"/>
        <w:rPr>
          <w:rFonts w:eastAsia="游明朝"/>
          <w:sz w:val="22"/>
          <w:szCs w:val="22"/>
          <w:lang w:val="en-US"/>
        </w:rPr>
      </w:pPr>
      <w:r>
        <w:rPr>
          <w:rFonts w:eastAsia="游明朝" w:hint="eastAsia"/>
          <w:sz w:val="22"/>
          <w:szCs w:val="22"/>
          <w:lang w:val="en-US"/>
        </w:rPr>
        <w:t xml:space="preserve">Therefore, we propose to send LS to RAN4 to ask defining the MTTD requirement for intra-band </w:t>
      </w:r>
      <w:r>
        <w:rPr>
          <w:rFonts w:eastAsia="游明朝"/>
          <w:sz w:val="22"/>
          <w:szCs w:val="22"/>
          <w:lang w:val="en-US"/>
        </w:rPr>
        <w:t>synchronous</w:t>
      </w:r>
      <w:r>
        <w:rPr>
          <w:rFonts w:eastAsia="游明朝" w:hint="eastAsia"/>
          <w:sz w:val="22"/>
          <w:szCs w:val="22"/>
          <w:lang w:val="en-US"/>
        </w:rPr>
        <w:t xml:space="preserve"> </w:t>
      </w:r>
      <w:r>
        <w:rPr>
          <w:rFonts w:eastAsia="游明朝"/>
          <w:sz w:val="22"/>
          <w:szCs w:val="22"/>
          <w:lang w:val="en-US"/>
        </w:rPr>
        <w:t xml:space="preserve">EN-DC case. In addition, RAN1 should ask RAN4 regarding the necessity of defining UE behavior </w:t>
      </w:r>
      <w:r w:rsidR="005E64F1">
        <w:rPr>
          <w:rFonts w:eastAsia="游明朝"/>
          <w:sz w:val="22"/>
          <w:szCs w:val="22"/>
          <w:lang w:val="en-US"/>
        </w:rPr>
        <w:t>for the</w:t>
      </w:r>
      <w:r>
        <w:rPr>
          <w:rFonts w:eastAsia="游明朝"/>
          <w:sz w:val="22"/>
          <w:szCs w:val="22"/>
          <w:lang w:val="en-US"/>
        </w:rPr>
        <w:t xml:space="preserve"> case where the uplink transmission timing difference between two RATs exceeds the MTTD value after timing adjustment </w:t>
      </w:r>
      <w:r w:rsidR="005E64F1">
        <w:rPr>
          <w:rFonts w:eastAsia="游明朝"/>
          <w:sz w:val="22"/>
          <w:szCs w:val="22"/>
          <w:lang w:val="en-US"/>
        </w:rPr>
        <w:t xml:space="preserve">in each RAT e.g., </w:t>
      </w:r>
      <w:r>
        <w:rPr>
          <w:rFonts w:eastAsia="游明朝"/>
          <w:sz w:val="22"/>
          <w:szCs w:val="22"/>
          <w:lang w:val="en-US"/>
        </w:rPr>
        <w:t>according the received TA command</w:t>
      </w:r>
      <w:r w:rsidR="005E64F1">
        <w:rPr>
          <w:rFonts w:eastAsia="游明朝"/>
          <w:sz w:val="22"/>
          <w:szCs w:val="22"/>
          <w:lang w:val="en-US"/>
        </w:rPr>
        <w:t>. If RAN4 confirms such case is possible and UE behavior needs to be defined in RAN1, RAN1 should discuss it.</w:t>
      </w:r>
      <w:r w:rsidR="006B0443">
        <w:rPr>
          <w:rFonts w:eastAsia="游明朝"/>
          <w:sz w:val="22"/>
          <w:szCs w:val="22"/>
          <w:lang w:val="en-US"/>
        </w:rPr>
        <w:t xml:space="preserve"> For example, as captured in [4], “i</w:t>
      </w:r>
      <w:r w:rsidR="006B0443" w:rsidRPr="006B0443">
        <w:rPr>
          <w:rFonts w:eastAsia="游明朝"/>
          <w:sz w:val="22"/>
          <w:szCs w:val="22"/>
          <w:lang w:val="en-US"/>
        </w:rPr>
        <w:t>n case UE needs to transmit PRACH simultaneously with other signals/channels (including other PRACH), it is up to UE implementation on whether to transmit PRACH together with other signals/channel or not</w:t>
      </w:r>
      <w:r w:rsidR="006B0443">
        <w:rPr>
          <w:rFonts w:eastAsia="游明朝"/>
          <w:sz w:val="22"/>
          <w:szCs w:val="22"/>
          <w:lang w:val="en-US"/>
        </w:rPr>
        <w:t>”</w:t>
      </w:r>
      <w:bookmarkStart w:id="2" w:name="_GoBack"/>
      <w:bookmarkEnd w:id="2"/>
      <w:r w:rsidR="006B0443" w:rsidRPr="006B0443">
        <w:rPr>
          <w:rFonts w:eastAsia="游明朝"/>
          <w:sz w:val="22"/>
          <w:szCs w:val="22"/>
          <w:lang w:val="en-US"/>
        </w:rPr>
        <w:t>.</w:t>
      </w:r>
    </w:p>
    <w:p w:rsidR="005E64F1" w:rsidRPr="005E64F1" w:rsidRDefault="005E64F1" w:rsidP="00F624AE">
      <w:pPr>
        <w:spacing w:afterLines="50" w:after="120"/>
        <w:jc w:val="both"/>
        <w:rPr>
          <w:rFonts w:eastAsia="游明朝"/>
          <w:sz w:val="22"/>
          <w:szCs w:val="22"/>
          <w:lang w:val="en-US"/>
        </w:rPr>
      </w:pPr>
    </w:p>
    <w:p w:rsidR="009D7EAB" w:rsidRDefault="009D7EAB" w:rsidP="009D7EAB">
      <w:pPr>
        <w:spacing w:afterLines="50" w:after="120"/>
        <w:jc w:val="both"/>
        <w:rPr>
          <w:b/>
          <w:sz w:val="22"/>
          <w:szCs w:val="22"/>
        </w:rPr>
      </w:pPr>
      <w:r w:rsidRPr="00A43721">
        <w:rPr>
          <w:rFonts w:hint="eastAsia"/>
          <w:b/>
          <w:sz w:val="22"/>
          <w:szCs w:val="22"/>
        </w:rPr>
        <w:t>Pro</w:t>
      </w:r>
      <w:r w:rsidRPr="00A43721">
        <w:rPr>
          <w:b/>
          <w:sz w:val="22"/>
          <w:szCs w:val="22"/>
        </w:rPr>
        <w:t xml:space="preserve">posal </w:t>
      </w:r>
      <w:r w:rsidR="000B498B">
        <w:rPr>
          <w:b/>
          <w:sz w:val="22"/>
          <w:szCs w:val="22"/>
        </w:rPr>
        <w:t>1</w:t>
      </w:r>
      <w:r w:rsidRPr="00A43721">
        <w:rPr>
          <w:b/>
          <w:sz w:val="22"/>
          <w:szCs w:val="22"/>
        </w:rPr>
        <w:t>:</w:t>
      </w:r>
      <w:r>
        <w:rPr>
          <w:rFonts w:hint="eastAsia"/>
          <w:b/>
          <w:sz w:val="22"/>
          <w:szCs w:val="22"/>
        </w:rPr>
        <w:t xml:space="preserve"> </w:t>
      </w:r>
      <w:r>
        <w:rPr>
          <w:b/>
          <w:sz w:val="22"/>
          <w:szCs w:val="22"/>
        </w:rPr>
        <w:t xml:space="preserve">In intra-band synchronous MR-DC scenario, </w:t>
      </w:r>
      <w:r w:rsidR="005E64F1">
        <w:rPr>
          <w:b/>
          <w:sz w:val="22"/>
          <w:szCs w:val="22"/>
        </w:rPr>
        <w:t>parallel UL timing adjustments in the two RATs should be applied</w:t>
      </w:r>
      <w:r>
        <w:rPr>
          <w:rFonts w:hint="eastAsia"/>
          <w:b/>
          <w:sz w:val="22"/>
          <w:szCs w:val="22"/>
        </w:rPr>
        <w:t>.</w:t>
      </w:r>
    </w:p>
    <w:p w:rsidR="009D7EAB" w:rsidRDefault="005E64F1" w:rsidP="009D7EAB">
      <w:pPr>
        <w:pStyle w:val="afc"/>
        <w:numPr>
          <w:ilvl w:val="0"/>
          <w:numId w:val="45"/>
        </w:numPr>
        <w:spacing w:afterLines="50" w:after="120"/>
        <w:ind w:leftChars="0"/>
        <w:jc w:val="both"/>
        <w:rPr>
          <w:b/>
          <w:sz w:val="22"/>
          <w:szCs w:val="22"/>
        </w:rPr>
      </w:pPr>
      <w:r>
        <w:rPr>
          <w:b/>
          <w:sz w:val="22"/>
          <w:szCs w:val="22"/>
        </w:rPr>
        <w:t>RAN1 sends LS to RAN4 to ask defining the MTTD requirement for intra-band synchronous EN-DC case.</w:t>
      </w:r>
    </w:p>
    <w:p w:rsidR="005E64F1" w:rsidRPr="009D7EAB" w:rsidRDefault="005E64F1" w:rsidP="009D7EAB">
      <w:pPr>
        <w:pStyle w:val="afc"/>
        <w:numPr>
          <w:ilvl w:val="0"/>
          <w:numId w:val="45"/>
        </w:numPr>
        <w:spacing w:afterLines="50" w:after="120"/>
        <w:ind w:leftChars="0"/>
        <w:jc w:val="both"/>
        <w:rPr>
          <w:b/>
          <w:sz w:val="22"/>
          <w:szCs w:val="22"/>
        </w:rPr>
      </w:pPr>
      <w:r>
        <w:rPr>
          <w:rFonts w:hint="eastAsia"/>
          <w:b/>
          <w:sz w:val="22"/>
          <w:szCs w:val="22"/>
        </w:rPr>
        <w:t xml:space="preserve">RAN1 should also ask RAN4 regarding the necessity of defining UE </w:t>
      </w:r>
      <w:r>
        <w:rPr>
          <w:b/>
          <w:sz w:val="22"/>
          <w:szCs w:val="22"/>
        </w:rPr>
        <w:t>behaviour</w:t>
      </w:r>
      <w:r>
        <w:rPr>
          <w:rFonts w:hint="eastAsia"/>
          <w:b/>
          <w:sz w:val="22"/>
          <w:szCs w:val="22"/>
        </w:rPr>
        <w:t xml:space="preserve"> </w:t>
      </w:r>
      <w:r>
        <w:rPr>
          <w:b/>
          <w:sz w:val="22"/>
          <w:szCs w:val="22"/>
        </w:rPr>
        <w:t>for the case where the uplink transmission timing difference between two RATs exceeds the MTTD value after timing adjustment in each RAT.</w:t>
      </w:r>
    </w:p>
    <w:p w:rsidR="00C47B30" w:rsidRPr="009D7EAB" w:rsidRDefault="00C47B30" w:rsidP="00F624AE">
      <w:pPr>
        <w:spacing w:afterLines="50" w:after="120"/>
        <w:jc w:val="both"/>
        <w:rPr>
          <w:rFonts w:eastAsia="游明朝"/>
          <w:sz w:val="22"/>
          <w:szCs w:val="22"/>
        </w:rPr>
      </w:pPr>
    </w:p>
    <w:p w:rsidR="00C47B30" w:rsidRDefault="00C47B30" w:rsidP="00F624AE">
      <w:pPr>
        <w:spacing w:afterLines="50" w:after="120"/>
        <w:jc w:val="both"/>
        <w:rPr>
          <w:rFonts w:eastAsia="游明朝"/>
          <w:sz w:val="22"/>
          <w:szCs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0B498B">
        <w:rPr>
          <w:rFonts w:eastAsia="ＭＳ 明朝"/>
          <w:sz w:val="22"/>
          <w:szCs w:val="22"/>
          <w:lang w:val="en-US"/>
        </w:rPr>
        <w:t>on the issue regarding handling of TA in synchronous MR-DC</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w:t>
      </w:r>
      <w:r w:rsidR="000B498B">
        <w:rPr>
          <w:rFonts w:eastAsia="ＭＳ 明朝" w:hint="eastAsia"/>
          <w:sz w:val="22"/>
          <w:szCs w:val="22"/>
          <w:lang w:val="en-US"/>
        </w:rPr>
        <w:t>ion, we made following proposal</w:t>
      </w:r>
      <w:r w:rsidR="00E15F38">
        <w:rPr>
          <w:rFonts w:eastAsia="ＭＳ 明朝" w:hint="eastAsia"/>
          <w:sz w:val="22"/>
          <w:szCs w:val="22"/>
          <w:lang w:val="en-US"/>
        </w:rPr>
        <w:t>.</w:t>
      </w:r>
    </w:p>
    <w:p w:rsidR="005E64F1" w:rsidRDefault="005E64F1" w:rsidP="005E64F1">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b/>
          <w:sz w:val="22"/>
          <w:szCs w:val="22"/>
        </w:rPr>
        <w:t>1</w:t>
      </w:r>
      <w:r w:rsidRPr="00A43721">
        <w:rPr>
          <w:b/>
          <w:sz w:val="22"/>
          <w:szCs w:val="22"/>
        </w:rPr>
        <w:t>:</w:t>
      </w:r>
      <w:r>
        <w:rPr>
          <w:rFonts w:hint="eastAsia"/>
          <w:b/>
          <w:sz w:val="22"/>
          <w:szCs w:val="22"/>
        </w:rPr>
        <w:t xml:space="preserve"> </w:t>
      </w:r>
      <w:r>
        <w:rPr>
          <w:b/>
          <w:sz w:val="22"/>
          <w:szCs w:val="22"/>
        </w:rPr>
        <w:t>In intra-band synchronous MR-DC scenario, parallel UL timing adjustments in the two RATs should be applied</w:t>
      </w:r>
      <w:r>
        <w:rPr>
          <w:rFonts w:hint="eastAsia"/>
          <w:b/>
          <w:sz w:val="22"/>
          <w:szCs w:val="22"/>
        </w:rPr>
        <w:t>.</w:t>
      </w:r>
    </w:p>
    <w:p w:rsidR="005E64F1" w:rsidRDefault="005E64F1" w:rsidP="005E64F1">
      <w:pPr>
        <w:pStyle w:val="afc"/>
        <w:numPr>
          <w:ilvl w:val="0"/>
          <w:numId w:val="45"/>
        </w:numPr>
        <w:spacing w:afterLines="50" w:after="120"/>
        <w:ind w:leftChars="0"/>
        <w:jc w:val="both"/>
        <w:rPr>
          <w:b/>
          <w:sz w:val="22"/>
          <w:szCs w:val="22"/>
        </w:rPr>
      </w:pPr>
      <w:r>
        <w:rPr>
          <w:b/>
          <w:sz w:val="22"/>
          <w:szCs w:val="22"/>
        </w:rPr>
        <w:t>RAN1 sends LS to RAN4 to ask defining the MTTD requirement for intra-band synchronous EN-DC case.</w:t>
      </w:r>
    </w:p>
    <w:p w:rsidR="005E64F1" w:rsidRPr="009D7EAB" w:rsidRDefault="005E64F1" w:rsidP="005E64F1">
      <w:pPr>
        <w:pStyle w:val="afc"/>
        <w:numPr>
          <w:ilvl w:val="0"/>
          <w:numId w:val="45"/>
        </w:numPr>
        <w:spacing w:afterLines="50" w:after="120"/>
        <w:ind w:leftChars="0"/>
        <w:jc w:val="both"/>
        <w:rPr>
          <w:b/>
          <w:sz w:val="22"/>
          <w:szCs w:val="22"/>
        </w:rPr>
      </w:pPr>
      <w:r>
        <w:rPr>
          <w:rFonts w:hint="eastAsia"/>
          <w:b/>
          <w:sz w:val="22"/>
          <w:szCs w:val="22"/>
        </w:rPr>
        <w:t xml:space="preserve">RAN1 should also ask RAN4 regarding the necessity of defining UE </w:t>
      </w:r>
      <w:r>
        <w:rPr>
          <w:b/>
          <w:sz w:val="22"/>
          <w:szCs w:val="22"/>
        </w:rPr>
        <w:t>behaviour</w:t>
      </w:r>
      <w:r>
        <w:rPr>
          <w:rFonts w:hint="eastAsia"/>
          <w:b/>
          <w:sz w:val="22"/>
          <w:szCs w:val="22"/>
        </w:rPr>
        <w:t xml:space="preserve"> </w:t>
      </w:r>
      <w:r>
        <w:rPr>
          <w:b/>
          <w:sz w:val="22"/>
          <w:szCs w:val="22"/>
        </w:rPr>
        <w:t>for the case where the uplink transmission timing difference between two RATs exceeds the MTTD value after timing adjustment in each RAT.</w:t>
      </w:r>
    </w:p>
    <w:p w:rsidR="009D7EAB" w:rsidRPr="005E64F1" w:rsidRDefault="009D7EAB"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110069" w:rsidRDefault="00BF2FC9" w:rsidP="00A6344B">
      <w:pPr>
        <w:pStyle w:val="afc"/>
        <w:numPr>
          <w:ilvl w:val="0"/>
          <w:numId w:val="4"/>
        </w:numPr>
        <w:spacing w:afterLines="50" w:after="120"/>
        <w:ind w:leftChars="0"/>
        <w:jc w:val="both"/>
        <w:rPr>
          <w:rFonts w:eastAsia="ＭＳ 明朝"/>
          <w:sz w:val="22"/>
        </w:rPr>
      </w:pPr>
      <w:r>
        <w:rPr>
          <w:rFonts w:eastAsia="ＭＳ 明朝" w:hint="eastAsia"/>
          <w:sz w:val="22"/>
        </w:rPr>
        <w:t xml:space="preserve">3GPP, </w:t>
      </w:r>
      <w:r w:rsidR="00A6344B" w:rsidRPr="00A6344B">
        <w:rPr>
          <w:rFonts w:eastAsia="ＭＳ 明朝"/>
          <w:sz w:val="22"/>
        </w:rPr>
        <w:t>R1-1810068</w:t>
      </w:r>
      <w:r w:rsidR="00922ACB">
        <w:rPr>
          <w:rFonts w:eastAsia="ＭＳ 明朝" w:hint="eastAsia"/>
          <w:sz w:val="22"/>
        </w:rPr>
        <w:t xml:space="preserve">, </w:t>
      </w:r>
      <w:r w:rsidR="00C47B30">
        <w:rPr>
          <w:rFonts w:eastAsia="ＭＳ 明朝"/>
          <w:sz w:val="22"/>
        </w:rPr>
        <w:t>RAN WG2</w:t>
      </w:r>
      <w:r w:rsidR="00922ACB">
        <w:rPr>
          <w:rFonts w:eastAsia="ＭＳ 明朝" w:hint="eastAsia"/>
          <w:sz w:val="22"/>
        </w:rPr>
        <w:t xml:space="preserve">, </w:t>
      </w:r>
      <w:r w:rsidR="00922ACB">
        <w:rPr>
          <w:rFonts w:eastAsia="ＭＳ 明朝"/>
          <w:sz w:val="22"/>
        </w:rPr>
        <w:t>“</w:t>
      </w:r>
      <w:r w:rsidR="00C47B30" w:rsidRPr="00C47B30">
        <w:rPr>
          <w:rFonts w:eastAsia="ＭＳ 明朝"/>
          <w:sz w:val="22"/>
        </w:rPr>
        <w:t>LS on intra-band combination for NR CA and MR-DC</w:t>
      </w:r>
      <w:r w:rsidR="006C3959">
        <w:rPr>
          <w:rFonts w:eastAsia="ＭＳ 明朝" w:hint="eastAsia"/>
          <w:sz w:val="22"/>
        </w:rPr>
        <w:t>,</w:t>
      </w:r>
      <w:r w:rsidR="00922ACB">
        <w:rPr>
          <w:rFonts w:eastAsia="ＭＳ 明朝"/>
          <w:sz w:val="22"/>
        </w:rPr>
        <w:t>”</w:t>
      </w:r>
      <w:r w:rsidR="00A6344B">
        <w:rPr>
          <w:rFonts w:eastAsia="ＭＳ 明朝" w:hint="eastAsia"/>
          <w:sz w:val="22"/>
        </w:rPr>
        <w:t xml:space="preserve"> Oct.</w:t>
      </w:r>
      <w:r w:rsidR="006C3959">
        <w:rPr>
          <w:rFonts w:eastAsia="ＭＳ 明朝" w:hint="eastAsia"/>
          <w:sz w:val="22"/>
        </w:rPr>
        <w:t xml:space="preserve"> 2018.</w:t>
      </w:r>
    </w:p>
    <w:p w:rsidR="00A6344B" w:rsidRDefault="00A6344B" w:rsidP="00A6344B">
      <w:pPr>
        <w:pStyle w:val="afc"/>
        <w:numPr>
          <w:ilvl w:val="0"/>
          <w:numId w:val="4"/>
        </w:numPr>
        <w:spacing w:afterLines="50" w:after="120"/>
        <w:ind w:leftChars="0"/>
        <w:jc w:val="both"/>
        <w:rPr>
          <w:rFonts w:eastAsia="ＭＳ 明朝"/>
          <w:sz w:val="22"/>
        </w:rPr>
      </w:pPr>
      <w:r>
        <w:rPr>
          <w:rFonts w:eastAsia="ＭＳ 明朝" w:hint="eastAsia"/>
          <w:sz w:val="22"/>
        </w:rPr>
        <w:t xml:space="preserve">3GPP, </w:t>
      </w:r>
      <w:r>
        <w:rPr>
          <w:rFonts w:eastAsia="ＭＳ 明朝"/>
          <w:sz w:val="22"/>
        </w:rPr>
        <w:t>R1-1812028</w:t>
      </w:r>
      <w:r>
        <w:rPr>
          <w:rFonts w:eastAsia="ＭＳ 明朝" w:hint="eastAsia"/>
          <w:sz w:val="22"/>
        </w:rPr>
        <w:t xml:space="preserve">, </w:t>
      </w:r>
      <w:r>
        <w:rPr>
          <w:rFonts w:eastAsia="ＭＳ 明朝"/>
          <w:sz w:val="22"/>
        </w:rPr>
        <w:t>RAN WG1</w:t>
      </w:r>
      <w:r>
        <w:rPr>
          <w:rFonts w:eastAsia="ＭＳ 明朝" w:hint="eastAsia"/>
          <w:sz w:val="22"/>
        </w:rPr>
        <w:t xml:space="preserve">, </w:t>
      </w:r>
      <w:r>
        <w:rPr>
          <w:rFonts w:eastAsia="ＭＳ 明朝"/>
          <w:sz w:val="22"/>
        </w:rPr>
        <w:t xml:space="preserve">“Reply </w:t>
      </w:r>
      <w:r w:rsidRPr="00C47B30">
        <w:rPr>
          <w:rFonts w:eastAsia="ＭＳ 明朝"/>
          <w:sz w:val="22"/>
        </w:rPr>
        <w:t>LS on intra-band combination for NR CA and MR-DC</w:t>
      </w:r>
      <w:r>
        <w:rPr>
          <w:rFonts w:eastAsia="ＭＳ 明朝" w:hint="eastAsia"/>
          <w:sz w:val="22"/>
        </w:rPr>
        <w:t>,</w:t>
      </w:r>
      <w:r>
        <w:rPr>
          <w:rFonts w:eastAsia="ＭＳ 明朝"/>
          <w:sz w:val="22"/>
        </w:rPr>
        <w:t>”</w:t>
      </w:r>
      <w:r>
        <w:rPr>
          <w:rFonts w:eastAsia="ＭＳ 明朝" w:hint="eastAsia"/>
          <w:sz w:val="22"/>
        </w:rPr>
        <w:t xml:space="preserve"> Oct. 2018.</w:t>
      </w:r>
    </w:p>
    <w:p w:rsidR="00351501" w:rsidRDefault="00A6344B" w:rsidP="00351501">
      <w:pPr>
        <w:pStyle w:val="afc"/>
        <w:numPr>
          <w:ilvl w:val="0"/>
          <w:numId w:val="4"/>
        </w:numPr>
        <w:spacing w:afterLines="50" w:after="120"/>
        <w:ind w:leftChars="0"/>
        <w:jc w:val="both"/>
        <w:rPr>
          <w:rFonts w:eastAsia="ＭＳ 明朝"/>
          <w:sz w:val="22"/>
        </w:rPr>
      </w:pPr>
      <w:r>
        <w:rPr>
          <w:rFonts w:eastAsia="ＭＳ 明朝"/>
          <w:sz w:val="22"/>
        </w:rPr>
        <w:t>3GPP, R1-1812112, RAN WG4,</w:t>
      </w:r>
      <w:r w:rsidR="00351501">
        <w:rPr>
          <w:rFonts w:eastAsia="ＭＳ 明朝"/>
          <w:sz w:val="22"/>
        </w:rPr>
        <w:t xml:space="preserve"> “</w:t>
      </w:r>
      <w:r w:rsidR="00351501" w:rsidRPr="00351501">
        <w:rPr>
          <w:rFonts w:eastAsia="ＭＳ 明朝"/>
          <w:sz w:val="22"/>
        </w:rPr>
        <w:t>Reply LS on intra-band combination for NR CA and MR-DC</w:t>
      </w:r>
      <w:r w:rsidR="00351501">
        <w:rPr>
          <w:rFonts w:eastAsia="ＭＳ 明朝"/>
          <w:sz w:val="22"/>
        </w:rPr>
        <w:t>,” Oct</w:t>
      </w:r>
      <w:r>
        <w:rPr>
          <w:rFonts w:eastAsia="ＭＳ 明朝"/>
          <w:sz w:val="22"/>
        </w:rPr>
        <w:t>.</w:t>
      </w:r>
      <w:r w:rsidR="00351501">
        <w:rPr>
          <w:rFonts w:eastAsia="ＭＳ 明朝"/>
          <w:sz w:val="22"/>
        </w:rPr>
        <w:t xml:space="preserve"> 2018.</w:t>
      </w:r>
    </w:p>
    <w:p w:rsidR="004B498F" w:rsidRPr="004B498F" w:rsidRDefault="004B498F" w:rsidP="004B498F">
      <w:pPr>
        <w:pStyle w:val="afc"/>
        <w:numPr>
          <w:ilvl w:val="0"/>
          <w:numId w:val="4"/>
        </w:numPr>
        <w:spacing w:afterLines="50" w:after="120"/>
        <w:ind w:leftChars="0"/>
        <w:jc w:val="both"/>
        <w:rPr>
          <w:rFonts w:eastAsia="ＭＳ 明朝"/>
          <w:sz w:val="22"/>
        </w:rPr>
      </w:pPr>
      <w:r>
        <w:rPr>
          <w:rFonts w:eastAsia="ＭＳ 明朝"/>
          <w:sz w:val="22"/>
        </w:rPr>
        <w:t xml:space="preserve">3GPP, R1-1811939, Intel, “[DRAFT] </w:t>
      </w:r>
      <w:r w:rsidRPr="004B498F">
        <w:rPr>
          <w:rFonts w:eastAsia="ＭＳ 明朝"/>
          <w:sz w:val="22"/>
        </w:rPr>
        <w:t>Reply LS on intra-band combination for NR CA and MR-DC</w:t>
      </w:r>
      <w:r w:rsidRPr="004B498F">
        <w:rPr>
          <w:rFonts w:eastAsia="ＭＳ 明朝" w:hint="eastAsia"/>
          <w:sz w:val="22"/>
        </w:rPr>
        <w:t>,</w:t>
      </w:r>
      <w:r w:rsidRPr="004B498F">
        <w:rPr>
          <w:rFonts w:eastAsia="ＭＳ 明朝"/>
          <w:sz w:val="22"/>
        </w:rPr>
        <w:t>”</w:t>
      </w:r>
      <w:r w:rsidRPr="004B498F">
        <w:rPr>
          <w:rFonts w:eastAsia="ＭＳ 明朝" w:hint="eastAsia"/>
          <w:sz w:val="22"/>
        </w:rPr>
        <w:t xml:space="preserve"> Oct. 2018.</w:t>
      </w:r>
    </w:p>
    <w:sectPr w:rsidR="004B498F" w:rsidRPr="004B498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FB0" w:rsidRDefault="00662FB0">
      <w:r>
        <w:separator/>
      </w:r>
    </w:p>
  </w:endnote>
  <w:endnote w:type="continuationSeparator" w:id="0">
    <w:p w:rsidR="00662FB0" w:rsidRDefault="00662FB0">
      <w:r>
        <w:continuationSeparator/>
      </w:r>
    </w:p>
  </w:endnote>
  <w:endnote w:type="continuationNotice" w:id="1">
    <w:p w:rsidR="00662FB0" w:rsidRDefault="00662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00000000" w:usb1="2AC7FCFF"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altName w:val="Lath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B044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B0443">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FB0" w:rsidRDefault="00662FB0">
      <w:r>
        <w:separator/>
      </w:r>
    </w:p>
  </w:footnote>
  <w:footnote w:type="continuationSeparator" w:id="0">
    <w:p w:rsidR="00662FB0" w:rsidRDefault="00662FB0">
      <w:r>
        <w:continuationSeparator/>
      </w:r>
    </w:p>
  </w:footnote>
  <w:footnote w:type="continuationNotice" w:id="1">
    <w:p w:rsidR="00662FB0" w:rsidRDefault="00662FB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6A23C0"/>
    <w:multiLevelType w:val="hybridMultilevel"/>
    <w:tmpl w:val="46B2A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F3211D"/>
    <w:multiLevelType w:val="hybridMultilevel"/>
    <w:tmpl w:val="9A288738"/>
    <w:lvl w:ilvl="0" w:tplc="0A06EF7A">
      <w:start w:val="2"/>
      <w:numFmt w:val="bullet"/>
      <w:lvlText w:val="-"/>
      <w:lvlJc w:val="left"/>
      <w:pPr>
        <w:ind w:left="1353" w:hanging="360"/>
      </w:pPr>
      <w:rPr>
        <w:rFonts w:ascii="Arial" w:eastAsia="游明朝"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7834452"/>
    <w:multiLevelType w:val="hybridMultilevel"/>
    <w:tmpl w:val="5B14A408"/>
    <w:lvl w:ilvl="0" w:tplc="60AE8B5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15:restartNumberingAfterBreak="0">
    <w:nsid w:val="37087A04"/>
    <w:multiLevelType w:val="hybridMultilevel"/>
    <w:tmpl w:val="9CE0EE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8A06F2"/>
    <w:multiLevelType w:val="hybridMultilevel"/>
    <w:tmpl w:val="521083FA"/>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8" w15:restartNumberingAfterBreak="0">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23"/>
  </w:num>
  <w:num w:numId="4">
    <w:abstractNumId w:val="15"/>
  </w:num>
  <w:num w:numId="5">
    <w:abstractNumId w:val="45"/>
  </w:num>
  <w:num w:numId="6">
    <w:abstractNumId w:val="35"/>
  </w:num>
  <w:num w:numId="7">
    <w:abstractNumId w:val="43"/>
  </w:num>
  <w:num w:numId="8">
    <w:abstractNumId w:val="24"/>
  </w:num>
  <w:num w:numId="9">
    <w:abstractNumId w:val="7"/>
  </w:num>
  <w:num w:numId="10">
    <w:abstractNumId w:val="4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
  </w:num>
  <w:num w:numId="14">
    <w:abstractNumId w:val="22"/>
  </w:num>
  <w:num w:numId="15">
    <w:abstractNumId w:val="30"/>
  </w:num>
  <w:num w:numId="16">
    <w:abstractNumId w:val="36"/>
  </w:num>
  <w:num w:numId="17">
    <w:abstractNumId w:val="39"/>
  </w:num>
  <w:num w:numId="18">
    <w:abstractNumId w:val="10"/>
  </w:num>
  <w:num w:numId="19">
    <w:abstractNumId w:val="42"/>
  </w:num>
  <w:num w:numId="20">
    <w:abstractNumId w:val="41"/>
  </w:num>
  <w:num w:numId="21">
    <w:abstractNumId w:val="5"/>
  </w:num>
  <w:num w:numId="22">
    <w:abstractNumId w:val="13"/>
  </w:num>
  <w:num w:numId="23">
    <w:abstractNumId w:val="1"/>
  </w:num>
  <w:num w:numId="24">
    <w:abstractNumId w:val="16"/>
  </w:num>
  <w:num w:numId="25">
    <w:abstractNumId w:val="18"/>
  </w:num>
  <w:num w:numId="26">
    <w:abstractNumId w:val="34"/>
  </w:num>
  <w:num w:numId="27">
    <w:abstractNumId w:val="38"/>
  </w:num>
  <w:num w:numId="28">
    <w:abstractNumId w:val="29"/>
  </w:num>
  <w:num w:numId="29">
    <w:abstractNumId w:val="21"/>
  </w:num>
  <w:num w:numId="30">
    <w:abstractNumId w:val="19"/>
  </w:num>
  <w:num w:numId="31">
    <w:abstractNumId w:val="6"/>
  </w:num>
  <w:num w:numId="32">
    <w:abstractNumId w:val="28"/>
  </w:num>
  <w:num w:numId="33">
    <w:abstractNumId w:val="37"/>
  </w:num>
  <w:num w:numId="34">
    <w:abstractNumId w:val="20"/>
  </w:num>
  <w:num w:numId="35">
    <w:abstractNumId w:val="17"/>
  </w:num>
  <w:num w:numId="36">
    <w:abstractNumId w:val="12"/>
  </w:num>
  <w:num w:numId="37">
    <w:abstractNumId w:val="9"/>
  </w:num>
  <w:num w:numId="38">
    <w:abstractNumId w:val="14"/>
  </w:num>
  <w:num w:numId="39">
    <w:abstractNumId w:val="4"/>
  </w:num>
  <w:num w:numId="40">
    <w:abstractNumId w:val="31"/>
  </w:num>
  <w:num w:numId="41">
    <w:abstractNumId w:val="27"/>
  </w:num>
  <w:num w:numId="42">
    <w:abstractNumId w:val="32"/>
  </w:num>
  <w:num w:numId="43">
    <w:abstractNumId w:val="3"/>
  </w:num>
  <w:num w:numId="44">
    <w:abstractNumId w:val="8"/>
  </w:num>
  <w:num w:numId="45">
    <w:abstractNumId w:val="26"/>
  </w:num>
  <w:num w:numId="46">
    <w:abstractNumId w:val="25"/>
  </w:num>
  <w:num w:numId="4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8B"/>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9F"/>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817"/>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01"/>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8F"/>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4F1"/>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FB0"/>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DCD"/>
    <w:rsid w:val="006B0443"/>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C2E"/>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9"/>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89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1DCF"/>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17F"/>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7DC"/>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514E"/>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ABC"/>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AD3"/>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AB"/>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44B"/>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B30"/>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6"/>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573"/>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14DC307"/>
  <w15:docId w15:val="{61F04195-B161-4FEA-B561-6A03252A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814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6FCCF-B304-459A-A341-AC9FF830E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929</Words>
  <Characters>4905</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cp:lastModifiedBy>
  <cp:revision>2</cp:revision>
  <cp:lastPrinted>2017-08-09T04:40:00Z</cp:lastPrinted>
  <dcterms:created xsi:type="dcterms:W3CDTF">2018-11-02T23:57:00Z</dcterms:created>
  <dcterms:modified xsi:type="dcterms:W3CDTF">2018-11-02T23:57:00Z</dcterms:modified>
</cp:coreProperties>
</file>